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76" w:lineRule="auto"/>
        <w:ind w:firstLine="0"/>
        <w:rPr>
          <w:rFonts w:ascii="Calibri" w:cs="Calibri" w:eastAsia="Calibri" w:hAnsi="Calibri"/>
          <w:b w:val="1"/>
          <w:bCs w:val="1"/>
          <w:sz w:val="24"/>
          <w:szCs w:val="24"/>
        </w:rPr>
      </w:pPr>
      <w:bookmarkStart w:colFirst="0" w:colLast="0" w:name="_heading=h.x5l6uvgf6kxd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76" w:lineRule="auto"/>
        <w:ind w:firstLine="0"/>
        <w:jc w:val="center"/>
        <w:rPr>
          <w:rFonts w:ascii="Calibri" w:cs="Calibri" w:eastAsia="Calibri" w:hAnsi="Calibri"/>
          <w:b w:val="1"/>
          <w:bCs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EDITAL PADRONIZADO </w:t>
      </w:r>
    </w:p>
    <w:p w:rsidR="00000000" w:rsidDel="00000000" w:rsidP="00000000" w:rsidRDefault="00000000" w:rsidRPr="00000000" w14:paraId="00000003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76" w:lineRule="auto"/>
        <w:ind w:firstLine="0"/>
        <w:jc w:val="center"/>
        <w:rPr>
          <w:rFonts w:ascii="Calibri" w:cs="Calibri" w:eastAsia="Calibri" w:hAnsi="Calibri"/>
          <w:b w:val="1"/>
          <w:bCs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 CHAMAMENTO PÚBLICO 02/2026</w:t>
      </w:r>
    </w:p>
    <w:p w:rsidR="00000000" w:rsidDel="00000000" w:rsidP="00000000" w:rsidRDefault="00000000" w:rsidRPr="00000000" w14:paraId="00000004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76" w:lineRule="auto"/>
        <w:ind w:firstLine="0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REDE MUNICIPAL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ff0000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DE PONTOS DE CULTURA DE ROLÂNDIA/PR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76" w:lineRule="auto"/>
        <w:ind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6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76" w:lineRule="auto"/>
        <w:ind w:firstLine="0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CULTURA VIVA DO TAMANHO DO BRASIL!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7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76" w:lineRule="auto"/>
        <w:ind w:firstLine="0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FOMENTO A PROJETOS CONTINUADOS DE PONTOS DE CULTURA</w:t>
      </w:r>
    </w:p>
    <w:p w:rsidR="00000000" w:rsidDel="00000000" w:rsidP="00000000" w:rsidRDefault="00000000" w:rsidRPr="00000000" w14:paraId="00000008">
      <w:pPr>
        <w:shd w:fill="ffffff" w:val="clear"/>
        <w:ind w:firstLine="0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center" w:leader="none" w:pos="0"/>
        </w:tabs>
        <w:spacing w:after="120" w:before="120" w:lineRule="auto"/>
        <w:ind w:firstLine="0"/>
        <w:jc w:val="center"/>
        <w:rPr>
          <w:rFonts w:ascii="Calibri" w:cs="Calibri" w:eastAsia="Calibri" w:hAnsi="Calibri"/>
          <w:b w:val="1"/>
          <w:bCs w:val="1"/>
          <w:smallCap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u w:val="single"/>
          <w:rtl w:val="0"/>
        </w:rPr>
        <w:t xml:space="preserve">ANEXO 08 - DECLARAÇÃO CONJUNTA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tabs>
          <w:tab w:val="left" w:leader="none" w:pos="567"/>
        </w:tabs>
        <w:ind w:hanging="2"/>
        <w:jc w:val="center"/>
        <w:rPr>
          <w:rFonts w:ascii="Calibri" w:cs="Calibri" w:eastAsia="Calibri" w:hAnsi="Calibri"/>
          <w:color w:val="ff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color w:val="ff0000"/>
          <w:sz w:val="24"/>
          <w:szCs w:val="24"/>
          <w:rtl w:val="0"/>
        </w:rPr>
        <w:t xml:space="preserve">(Rubricar todas as páginas)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hd w:fill="ffffff" w:val="clear"/>
        <w:tabs>
          <w:tab w:val="left" w:leader="none" w:pos="567"/>
        </w:tabs>
        <w:spacing w:after="120" w:before="240" w:lineRule="auto"/>
        <w:ind w:hanging="2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Eu, ___________________________ </w:t>
      </w:r>
      <w:r w:rsidDel="00000000" w:rsidR="00000000" w:rsidRPr="00000000">
        <w:rPr>
          <w:rFonts w:ascii="Calibri" w:cs="Calibri" w:eastAsia="Calibri" w:hAnsi="Calibri"/>
          <w:color w:val="ff0000"/>
          <w:sz w:val="24"/>
          <w:szCs w:val="24"/>
          <w:rtl w:val="0"/>
        </w:rPr>
        <w:t xml:space="preserve">(nome da pessoa responsável pela candidatura)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, residente e domiciliado(a) em ___________________________ </w:t>
      </w:r>
      <w:r w:rsidDel="00000000" w:rsidR="00000000" w:rsidRPr="00000000">
        <w:rPr>
          <w:rFonts w:ascii="Calibri" w:cs="Calibri" w:eastAsia="Calibri" w:hAnsi="Calibri"/>
          <w:color w:val="ff0000"/>
          <w:sz w:val="24"/>
          <w:szCs w:val="24"/>
          <w:rtl w:val="0"/>
        </w:rPr>
        <w:t xml:space="preserve">(endereço residencial do dirigente)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, portador(a) da Carteira de Identidade n° ___________, CPF n° ___________, responsável pela inscrição da entidade cultural ___________________________ </w:t>
      </w:r>
      <w:r w:rsidDel="00000000" w:rsidR="00000000" w:rsidRPr="00000000">
        <w:rPr>
          <w:rFonts w:ascii="Calibri" w:cs="Calibri" w:eastAsia="Calibri" w:hAnsi="Calibri"/>
          <w:color w:val="ff0000"/>
          <w:sz w:val="24"/>
          <w:szCs w:val="24"/>
          <w:rtl w:val="0"/>
        </w:rPr>
        <w:t xml:space="preserve">(nome da entidade cultural)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, CNPJ nº ___________________________, no referido Edital de Seleção para ampliação e fortalecimento da Política Nacional de Cultura Viva,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DECLARO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shd w:fill="ffffff" w:val="clear"/>
        <w:tabs>
          <w:tab w:val="left" w:leader="none" w:pos="567"/>
        </w:tabs>
        <w:spacing w:after="120" w:before="240" w:lineRule="auto"/>
        <w:ind w:left="0" w:hanging="2"/>
        <w:jc w:val="both"/>
        <w:rPr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Estar ciente de que as informações e documentos apresentados neste processo seletivo são de minha inteira responsabilidade, sendo a expressão da verdade;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shd w:fill="ffffff" w:val="clear"/>
        <w:tabs>
          <w:tab w:val="left" w:leader="none" w:pos="567"/>
        </w:tabs>
        <w:spacing w:after="120" w:before="240" w:lineRule="auto"/>
        <w:ind w:left="0" w:hanging="2"/>
        <w:jc w:val="both"/>
        <w:rPr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Autorizar a </w:t>
      </w:r>
      <w:r w:rsidDel="00000000" w:rsidR="00000000" w:rsidRPr="00000000">
        <w:rPr>
          <w:rFonts w:ascii="Calibri" w:cs="Calibri" w:eastAsia="Calibri" w:hAnsi="Calibri"/>
          <w:color w:val="ff0000"/>
          <w:sz w:val="24"/>
          <w:szCs w:val="24"/>
          <w:rtl w:val="0"/>
        </w:rPr>
        <w:t xml:space="preserve">XXXXXX (órgão responsável)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e o Ministério da Cultura a publicar e divulgar, mediante reprodução, distribuição, comunicação ao público e quaisquer outras modalidades de utilização, sem quaisquer ônus, por tempo indeterminado, os conteúdos da inscrição, do Termo de Compromisso Cultural e do projeto cultural;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shd w:fill="ffffff" w:val="clear"/>
        <w:tabs>
          <w:tab w:val="left" w:leader="none" w:pos="567"/>
        </w:tabs>
        <w:spacing w:after="120" w:before="240" w:lineRule="auto"/>
        <w:ind w:left="0" w:hanging="2"/>
        <w:jc w:val="both"/>
        <w:rPr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Estar ciente e de acordo que a publicação e divulgação das matérias poderão ser realizadas inclusive em universidades, escolas, seminários, congressos, outros eventos e na mídia em geral, no Brasil e no exterior, observadas as legislações vigentes de cada país;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shd w:fill="ffffff" w:val="clear"/>
        <w:tabs>
          <w:tab w:val="left" w:leader="none" w:pos="567"/>
        </w:tabs>
        <w:spacing w:after="120" w:before="240" w:lineRule="auto"/>
        <w:ind w:left="0" w:hanging="2"/>
        <w:jc w:val="both"/>
        <w:rPr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Não me enquadrar em quaisquer das vedações dispostas no Edital de Seleção, principalmente quanto ao disposto em seu item 4 (“quem não pode participar do edital”);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2"/>
        </w:numPr>
        <w:shd w:fill="ffffff" w:val="clear"/>
        <w:tabs>
          <w:tab w:val="left" w:leader="none" w:pos="567"/>
        </w:tabs>
        <w:spacing w:after="120" w:before="240" w:lineRule="auto"/>
        <w:ind w:left="0" w:hanging="2"/>
        <w:jc w:val="both"/>
        <w:rPr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Concordar em receber visita técnica e/ou participar de reunião, com a missão de acompanhar e monitorar a execução e os resultados Termo de Compromisso Cultural, caso a </w:t>
      </w:r>
      <w:r w:rsidDel="00000000" w:rsidR="00000000" w:rsidRPr="00000000">
        <w:rPr>
          <w:rFonts w:ascii="Calibri" w:cs="Calibri" w:eastAsia="Calibri" w:hAnsi="Calibri"/>
          <w:color w:val="ff0000"/>
          <w:sz w:val="24"/>
          <w:szCs w:val="24"/>
          <w:rtl w:val="0"/>
        </w:rPr>
        <w:t xml:space="preserve">XXXXXX (órgão responsável)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e o Ministério da Cultura considerem apropriado;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shd w:fill="ffffff" w:val="clear"/>
        <w:tabs>
          <w:tab w:val="left" w:leader="none" w:pos="567"/>
        </w:tabs>
        <w:spacing w:after="120" w:before="240" w:lineRule="auto"/>
        <w:ind w:left="0" w:hanging="2"/>
        <w:jc w:val="both"/>
        <w:rPr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Não existir plágio no projeto selecionado, assumindo integralmente a autoria e respondendo exclusivamente por eventuais acusações ou pleitos nesse sentido;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2"/>
        </w:numPr>
        <w:shd w:fill="ffffff" w:val="clear"/>
        <w:tabs>
          <w:tab w:val="left" w:leader="none" w:pos="567"/>
        </w:tabs>
        <w:spacing w:after="120" w:before="240" w:lineRule="auto"/>
        <w:ind w:left="0" w:hanging="2"/>
        <w:jc w:val="both"/>
        <w:rPr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Possuir Capacidade Gerencial, Técnica e Operacional para o desenvolvimento e execução das atividades previstas no Plano de Trabalho, parte integrante do Termo de Compromisso Cultural, não ser mero intermediário na execução do projeto em epígrafe, e estar apto à execução do objeto na forma proposta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shd w:fill="ffffff" w:val="clear"/>
        <w:tabs>
          <w:tab w:val="left" w:leader="none" w:pos="567"/>
        </w:tabs>
        <w:spacing w:after="120" w:before="240" w:lineRule="auto"/>
        <w:ind w:left="0" w:hanging="2"/>
        <w:jc w:val="both"/>
        <w:rPr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Não ter projetos vigentes ou em análise com o mesmo objeto e/ou despesas semelhantes às pleiteadas nesta proposta em qualquer esfera do governo;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shd w:fill="ffffff" w:val="clear"/>
        <w:tabs>
          <w:tab w:val="left" w:leader="none" w:pos="567"/>
        </w:tabs>
        <w:spacing w:after="120" w:before="240" w:lineRule="auto"/>
        <w:ind w:left="0" w:hanging="2"/>
        <w:jc w:val="both"/>
        <w:rPr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Respeitar a legislação pertinente referente à Leis Ambientais Brasileiras, mais especificamente à relacionada aos possíveis impactos ambientais (Art. 1º, da Resolução Conama nº 001, de 23 de janeiro de 1986) para a execução do objeto da proposta e, ainda, realizar a coleta seletiva de todos os resíduos produzidos (Resolução Conama nº 275, de 25 de abril de 2001) e a limpeza d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o</w:t>
      </w: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 espaço físico durante e após o período de realização das ações previstas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shd w:fill="ffffff" w:val="clear"/>
        <w:tabs>
          <w:tab w:val="left" w:leader="none" w:pos="567"/>
        </w:tabs>
        <w:spacing w:after="120" w:before="240" w:lineRule="auto"/>
        <w:ind w:left="0" w:hanging="2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Realizar todas as intervenções e serviços que se fizerem necessários para promover a acessibilidade cultural e a inclusão de pessoas com mobilidade reduzida e pessoas com deficiência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durante as ações propostas, garantindo ainda exibições audiovisuais, se houver, que disponham de recursos de legendagem descritiva, audiodescrição e LIBRAS – Língua Brasileira de Sinais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;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shd w:fill="ffffff" w:val="clear"/>
        <w:tabs>
          <w:tab w:val="left" w:leader="none" w:pos="567"/>
        </w:tabs>
        <w:spacing w:after="120" w:before="240" w:lineRule="auto"/>
        <w:ind w:left="0" w:hanging="2"/>
        <w:jc w:val="both"/>
        <w:rPr>
          <w:sz w:val="24"/>
          <w:szCs w:val="24"/>
          <w:highlight w:val="white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Disponibilizar livre acesso à população beneficiada para todas as ações propostas n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o</w:t>
      </w: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 projeto;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shd w:fill="ffffff" w:val="clear"/>
        <w:tabs>
          <w:tab w:val="left" w:leader="none" w:pos="567"/>
        </w:tabs>
        <w:spacing w:after="120" w:before="240" w:lineRule="auto"/>
        <w:ind w:left="0" w:hanging="2"/>
        <w:jc w:val="both"/>
        <w:rPr>
          <w:sz w:val="24"/>
          <w:szCs w:val="24"/>
          <w:highlight w:val="white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highlight w:val="white"/>
          <w:rtl w:val="0"/>
        </w:rPr>
        <w:t xml:space="preserve">Estar ciente que: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240" w:lineRule="auto"/>
        <w:ind w:left="0" w:hanging="2"/>
        <w:jc w:val="both"/>
        <w:rPr>
          <w:rFonts w:ascii="Calibri" w:cs="Calibri" w:eastAsia="Calibri" w:hAnsi="Calibri"/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highlight w:val="white"/>
          <w:rtl w:val="0"/>
        </w:rPr>
        <w:t xml:space="preserve">Os bens patrimoniais adquiridos deverão ser gravados com cláusula de inalienabilidade enquanto viger a parceria, sendo que, na hipótese de extinção da entidade cultural durante a vigência do presente instrumento, a propriedade de tais ben</w:t>
      </w: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s será transferida à Administração Pública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240" w:lineRule="auto"/>
        <w:ind w:left="0" w:hanging="2"/>
        <w:jc w:val="both"/>
        <w:rPr>
          <w:rFonts w:ascii="Calibri" w:cs="Calibri" w:eastAsia="Calibri" w:hAnsi="Calibri"/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highlight w:val="white"/>
          <w:rtl w:val="0"/>
        </w:rPr>
        <w:t xml:space="preserve">Quando da extinção da parceria, os bens remanescentes permanecerão na propriedade da entidade cultural, na medida em que os bens serão úteis à continuidade da execução de ações de interesse social pela organização; e</w:t>
      </w:r>
    </w:p>
    <w:p w:rsidR="00000000" w:rsidDel="00000000" w:rsidP="00000000" w:rsidRDefault="00000000" w:rsidRPr="00000000" w14:paraId="0000001A">
      <w:pPr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240" w:lineRule="auto"/>
        <w:ind w:left="0" w:hanging="2"/>
        <w:jc w:val="both"/>
        <w:rPr>
          <w:rFonts w:ascii="Calibri" w:cs="Calibri" w:eastAsia="Calibri" w:hAnsi="Calibri"/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highlight w:val="white"/>
          <w:rtl w:val="0"/>
        </w:rPr>
        <w:t xml:space="preserve">Na hipótese de extinção da entidade cultural após a vigência do instrumento celebrado, será aplicada Cláusula do Estatuto Social.</w:t>
      </w:r>
    </w:p>
    <w:p w:rsidR="00000000" w:rsidDel="00000000" w:rsidP="00000000" w:rsidRDefault="00000000" w:rsidRPr="00000000" w14:paraId="0000001B">
      <w:pPr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567"/>
          <w:tab w:val="left" w:leader="none" w:pos="1134"/>
        </w:tabs>
        <w:spacing w:after="120" w:before="240" w:lineRule="auto"/>
        <w:ind w:left="0" w:hanging="2"/>
        <w:jc w:val="both"/>
        <w:rPr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Estar ciente das regras de democratização dos recursos: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tabs>
          <w:tab w:val="left" w:leader="none" w:pos="567"/>
          <w:tab w:val="left" w:leader="none" w:pos="1134"/>
        </w:tabs>
        <w:ind w:left="720" w:firstLine="0"/>
        <w:jc w:val="both"/>
        <w:rPr>
          <w:rFonts w:ascii="Calibri" w:cs="Calibri" w:eastAsia="Calibri" w:hAnsi="Calibri"/>
          <w:i w:val="1"/>
          <w:iCs w:val="1"/>
          <w:color w:val="555555"/>
        </w:rPr>
      </w:pPr>
      <w:hyperlink r:id="rId7">
        <w:r w:rsidDel="00000000" w:rsidR="00000000" w:rsidRPr="00000000">
          <w:rPr>
            <w:rFonts w:ascii="Calibri" w:cs="Calibri" w:eastAsia="Calibri" w:hAnsi="Calibri"/>
            <w:i w:val="1"/>
            <w:iCs w:val="1"/>
            <w:color w:val="1155cc"/>
            <w:u w:val="single"/>
            <w:rtl w:val="0"/>
          </w:rPr>
          <w:t xml:space="preserve">Instrução Normativa MinC nº  1/2015, art. 21, </w:t>
        </w:r>
      </w:hyperlink>
      <w:hyperlink r:id="rId8">
        <w:r w:rsidDel="00000000" w:rsidR="00000000" w:rsidRPr="00000000">
          <w:rPr>
            <w:rFonts w:ascii="Calibri" w:cs="Calibri" w:eastAsia="Calibri" w:hAnsi="Calibri"/>
            <w:i w:val="1"/>
            <w:iCs w:val="1"/>
            <w:color w:val="1155cc"/>
            <w:highlight w:val="white"/>
            <w:u w:val="single"/>
            <w:rtl w:val="0"/>
          </w:rPr>
          <w:t xml:space="preserve">§ 3º: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tabs>
          <w:tab w:val="left" w:leader="none" w:pos="567"/>
          <w:tab w:val="left" w:leader="none" w:pos="1134"/>
        </w:tabs>
        <w:ind w:left="720" w:firstLine="0"/>
        <w:jc w:val="both"/>
        <w:rPr>
          <w:rFonts w:ascii="Calibri" w:cs="Calibri" w:eastAsia="Calibri" w:hAnsi="Calibri"/>
          <w:b w:val="1"/>
          <w:bCs w:val="1"/>
          <w:i w:val="1"/>
          <w:iCs w:val="1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I - uma mesma entidade cultural não poderá ter dois ou mais TCC vigentes simultaneamente para execução de projetos da PNCV, mesmo que selecionada em editais diferentes ou de Entes Federados distintos,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rtl w:val="0"/>
        </w:rPr>
        <w:t xml:space="preserve">salvo quando:</w:t>
      </w:r>
    </w:p>
    <w:p w:rsidR="00000000" w:rsidDel="00000000" w:rsidP="00000000" w:rsidRDefault="00000000" w:rsidRPr="00000000" w14:paraId="0000001E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tabs>
          <w:tab w:val="left" w:leader="none" w:pos="567"/>
          <w:tab w:val="left" w:leader="none" w:pos="1134"/>
        </w:tabs>
        <w:ind w:left="720" w:firstLine="0"/>
        <w:jc w:val="both"/>
        <w:rPr>
          <w:rFonts w:ascii="Calibri" w:cs="Calibri" w:eastAsia="Calibri" w:hAnsi="Calibri"/>
          <w:i w:val="1"/>
          <w:iCs w:val="1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a) no ato de formalização do segundo TCC,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rtl w:val="0"/>
        </w:rPr>
        <w:t xml:space="preserve">a entidade não tenha parcelas para receber e já tenha executado mais da metade do cronograma relacionado à última parcela do TCC ativo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; ou</w:t>
      </w:r>
    </w:p>
    <w:p w:rsidR="00000000" w:rsidDel="00000000" w:rsidP="00000000" w:rsidRDefault="00000000" w:rsidRPr="00000000" w14:paraId="0000001F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tabs>
          <w:tab w:val="left" w:leader="none" w:pos="567"/>
          <w:tab w:val="left" w:leader="none" w:pos="1134"/>
        </w:tabs>
        <w:ind w:left="720" w:firstLine="0"/>
        <w:jc w:val="both"/>
        <w:rPr>
          <w:rFonts w:ascii="Calibri" w:cs="Calibri" w:eastAsia="Calibri" w:hAnsi="Calibri"/>
          <w:i w:val="1"/>
          <w:iCs w:val="1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b) quando uma mesma entidade celebre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rtl w:val="0"/>
        </w:rPr>
        <w:t xml:space="preserve">um TCC para fomento a um projeto de Ponto de Cultura e um TCC para fomento a um projeto de Pontão de Cultura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;</w:t>
      </w:r>
    </w:p>
    <w:p w:rsidR="00000000" w:rsidDel="00000000" w:rsidP="00000000" w:rsidRDefault="00000000" w:rsidRPr="00000000" w14:paraId="00000020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tabs>
          <w:tab w:val="left" w:leader="none" w:pos="567"/>
          <w:tab w:val="left" w:leader="none" w:pos="1134"/>
        </w:tabs>
        <w:ind w:left="720" w:firstLine="0"/>
        <w:jc w:val="both"/>
        <w:rPr>
          <w:rFonts w:ascii="Calibri" w:cs="Calibri" w:eastAsia="Calibri" w:hAnsi="Calibri"/>
          <w:b w:val="1"/>
          <w:bCs w:val="1"/>
          <w:i w:val="1"/>
          <w:iCs w:val="1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II - uma mesma entidade não poderá celebrar TCC e receber prêmios no âmbito da PNCV em um período de 12 meses, mesmo que selecionada em editais diferentes ou de Entes Federados distintos,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rtl w:val="0"/>
        </w:rPr>
        <w:t xml:space="preserve"> salvo quando:</w:t>
      </w:r>
    </w:p>
    <w:p w:rsidR="00000000" w:rsidDel="00000000" w:rsidP="00000000" w:rsidRDefault="00000000" w:rsidRPr="00000000" w14:paraId="00000021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tabs>
          <w:tab w:val="left" w:leader="none" w:pos="567"/>
          <w:tab w:val="left" w:leader="none" w:pos="1134"/>
        </w:tabs>
        <w:ind w:left="720" w:firstLine="0"/>
        <w:jc w:val="both"/>
        <w:rPr>
          <w:rFonts w:ascii="Calibri" w:cs="Calibri" w:eastAsia="Calibri" w:hAnsi="Calibri"/>
          <w:i w:val="1"/>
          <w:iCs w:val="1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a) já tenha sido premiada em edital da PNCV nos últimos 12 meses e,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rtl w:val="0"/>
        </w:rPr>
        <w:t xml:space="preserve"> posteriormente, seja selecionada em edital de fomento a projeto continuado de Ponto ou Pontão de Cultura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, para celebração de TCC;</w:t>
      </w:r>
    </w:p>
    <w:p w:rsidR="00000000" w:rsidDel="00000000" w:rsidP="00000000" w:rsidRDefault="00000000" w:rsidRPr="00000000" w14:paraId="00000022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tabs>
          <w:tab w:val="left" w:leader="none" w:pos="567"/>
          <w:tab w:val="left" w:leader="none" w:pos="1134"/>
        </w:tabs>
        <w:ind w:left="720" w:firstLine="0"/>
        <w:jc w:val="both"/>
        <w:rPr>
          <w:rFonts w:ascii="Calibri" w:cs="Calibri" w:eastAsia="Calibri" w:hAnsi="Calibri"/>
          <w:i w:val="1"/>
          <w:iCs w:val="1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b)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rtl w:val="0"/>
        </w:rPr>
        <w:t xml:space="preserve">no ato de premiação, a entidade não tenha parcelas para receber e já tenha executado mais da metade do cronograma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 relacionado à última parcela do TCC ativo; ou</w:t>
      </w:r>
    </w:p>
    <w:p w:rsidR="00000000" w:rsidDel="00000000" w:rsidP="00000000" w:rsidRDefault="00000000" w:rsidRPr="00000000" w14:paraId="00000023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tabs>
          <w:tab w:val="left" w:leader="none" w:pos="567"/>
          <w:tab w:val="left" w:leader="none" w:pos="1134"/>
        </w:tabs>
        <w:ind w:left="720" w:firstLine="0"/>
        <w:jc w:val="both"/>
        <w:rPr>
          <w:rFonts w:ascii="Calibri" w:cs="Calibri" w:eastAsia="Calibri" w:hAnsi="Calibri"/>
          <w:i w:val="1"/>
          <w:iCs w:val="1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c) em um mesmo edital de premiação da PNCV, após selecionadas todas as entidades concorrentes que não tenham firmado TCC nos últimos 12 meses,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rtl w:val="0"/>
        </w:rPr>
        <w:t xml:space="preserve">ainda existam vagas disponíveis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.</w:t>
      </w:r>
    </w:p>
    <w:p w:rsidR="00000000" w:rsidDel="00000000" w:rsidP="00000000" w:rsidRDefault="00000000" w:rsidRPr="00000000" w14:paraId="00000024">
      <w:pPr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567"/>
          <w:tab w:val="left" w:leader="none" w:pos="1134"/>
        </w:tabs>
        <w:spacing w:after="120" w:before="240" w:lineRule="auto"/>
        <w:ind w:left="0" w:hanging="2"/>
        <w:jc w:val="both"/>
        <w:rPr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Estar ciente de que qualquer inexatidão dos itens informados acima implicará na rescisão do instrumento que vier a ser celebrado e me sujeitará às penalidades previstas no art. 299 do Código Penal Brasileiro, sem prejuízo de outras medidas administrativas cabíveis.</w:t>
        <w:br w:type="textWrapping"/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widowControl w:val="0"/>
        <w:spacing w:after="120" w:before="240" w:lineRule="auto"/>
        <w:ind w:hanging="2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_____________________,________/_______/ _______.</w:t>
      </w:r>
    </w:p>
    <w:p w:rsidR="00000000" w:rsidDel="00000000" w:rsidP="00000000" w:rsidRDefault="00000000" w:rsidRPr="00000000" w14:paraId="00000026">
      <w:pPr>
        <w:widowControl w:val="0"/>
        <w:spacing w:after="120" w:before="240" w:lineRule="auto"/>
        <w:ind w:hanging="2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(Local e data)</w:t>
      </w:r>
    </w:p>
    <w:p w:rsidR="00000000" w:rsidDel="00000000" w:rsidP="00000000" w:rsidRDefault="00000000" w:rsidRPr="00000000" w14:paraId="00000027">
      <w:pPr>
        <w:spacing w:after="120" w:before="240" w:lineRule="auto"/>
        <w:ind w:hanging="2"/>
        <w:jc w:val="center"/>
        <w:rPr>
          <w:rFonts w:ascii="Calibri" w:cs="Calibri" w:eastAsia="Calibri" w:hAnsi="Calibri"/>
          <w:color w:val="333333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333333"/>
          <w:sz w:val="24"/>
          <w:szCs w:val="24"/>
          <w:rtl w:val="0"/>
        </w:rPr>
        <w:t xml:space="preserve">____________________________________________________</w:t>
      </w:r>
    </w:p>
    <w:p w:rsidR="00000000" w:rsidDel="00000000" w:rsidP="00000000" w:rsidRDefault="00000000" w:rsidRPr="00000000" w14:paraId="00000028">
      <w:pPr>
        <w:ind w:hanging="2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Assinatura</w:t>
      </w:r>
    </w:p>
    <w:p w:rsidR="00000000" w:rsidDel="00000000" w:rsidP="00000000" w:rsidRDefault="00000000" w:rsidRPr="00000000" w14:paraId="00000029">
      <w:pPr>
        <w:ind w:hanging="2"/>
        <w:jc w:val="center"/>
        <w:rPr>
          <w:rFonts w:ascii="Calibri" w:cs="Calibri" w:eastAsia="Calibri" w:hAnsi="Calibri"/>
          <w:color w:val="ff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ff0000"/>
          <w:sz w:val="24"/>
          <w:szCs w:val="24"/>
          <w:rtl w:val="0"/>
        </w:rPr>
        <w:t xml:space="preserve">(Responsável Legal da Entidade Cultural)</w:t>
      </w:r>
    </w:p>
    <w:p w:rsidR="00000000" w:rsidDel="00000000" w:rsidP="00000000" w:rsidRDefault="00000000" w:rsidRPr="00000000" w14:paraId="0000002A">
      <w:pPr>
        <w:ind w:hanging="2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NOME COMPLETO</w:t>
      </w:r>
    </w:p>
    <w:sectPr>
      <w:headerReference r:id="rId9" w:type="default"/>
      <w:headerReference r:id="rId10" w:type="first"/>
      <w:headerReference r:id="rId11" w:type="even"/>
      <w:footerReference r:id="rId12" w:type="default"/>
      <w:footerReference r:id="rId13" w:type="first"/>
      <w:footerReference r:id="rId14" w:type="even"/>
      <w:pgSz w:h="16838" w:w="11906" w:orient="portrait"/>
      <w:pgMar w:bottom="851" w:top="851" w:left="850" w:right="85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Calibri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ind w:hanging="2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ind w:hanging="2"/>
      <w:jc w:val="right"/>
      <w:rPr>
        <w:rFonts w:ascii="Calibri" w:cs="Calibri" w:eastAsia="Calibri" w:hAnsi="Calibri"/>
        <w:b w:val="1"/>
        <w:bCs w:val="1"/>
        <w:color w:val="000000"/>
        <w:sz w:val="16"/>
        <w:szCs w:val="16"/>
      </w:rPr>
    </w:pPr>
    <w:r w:rsidDel="00000000" w:rsidR="00000000" w:rsidRPr="00000000">
      <w:rPr>
        <w:rFonts w:ascii="Calibri" w:cs="Calibri" w:eastAsia="Calibri" w:hAnsi="Calibri"/>
        <w:color w:val="000000"/>
        <w:sz w:val="16"/>
        <w:szCs w:val="16"/>
        <w:rtl w:val="0"/>
      </w:rPr>
      <w:t xml:space="preserve">Página </w:t>
    </w:r>
    <w:r w:rsidDel="00000000" w:rsidR="00000000" w:rsidRPr="00000000">
      <w:rPr>
        <w:rFonts w:ascii="Calibri" w:cs="Calibri" w:eastAsia="Calibri" w:hAnsi="Calibri"/>
        <w:b w:val="1"/>
        <w:bCs w:val="1"/>
        <w:color w:val="000000"/>
        <w:sz w:val="16"/>
        <w:szCs w:val="16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Calibri" w:cs="Calibri" w:eastAsia="Calibri" w:hAnsi="Calibri"/>
        <w:color w:val="000000"/>
        <w:sz w:val="16"/>
        <w:szCs w:val="16"/>
        <w:rtl w:val="0"/>
      </w:rPr>
      <w:t xml:space="preserve"> de </w:t>
    </w:r>
    <w:r w:rsidDel="00000000" w:rsidR="00000000" w:rsidRPr="00000000">
      <w:rPr>
        <w:rFonts w:ascii="Calibri" w:cs="Calibri" w:eastAsia="Calibri" w:hAnsi="Calibri"/>
        <w:b w:val="1"/>
        <w:bCs w:val="1"/>
        <w:color w:val="000000"/>
        <w:sz w:val="16"/>
        <w:szCs w:val="16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1076325</wp:posOffset>
          </wp:positionH>
          <wp:positionV relativeFrom="paragraph">
            <wp:posOffset>209560</wp:posOffset>
          </wp:positionV>
          <wp:extent cx="2156619" cy="628650"/>
          <wp:effectExtent b="0" l="0" r="0" t="0"/>
          <wp:wrapNone/>
          <wp:docPr id="4" name="image6.png"/>
          <a:graphic>
            <a:graphicData uri="http://schemas.openxmlformats.org/drawingml/2006/picture">
              <pic:pic>
                <pic:nvPicPr>
                  <pic:cNvPr id="0" name="image6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156619" cy="62865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31">
    <w:pPr>
      <w:tabs>
        <w:tab w:val="center" w:leader="none" w:pos="0"/>
      </w:tabs>
      <w:ind w:left="1440" w:firstLine="0"/>
      <w:jc w:val="both"/>
      <w:rPr>
        <w:rFonts w:ascii="Calibri" w:cs="Calibri" w:eastAsia="Calibri" w:hAnsi="Calibri"/>
        <w:i w:val="1"/>
        <w:iCs w:val="1"/>
        <w:color w:val="ff000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4581525</wp:posOffset>
          </wp:positionH>
          <wp:positionV relativeFrom="paragraph">
            <wp:posOffset>23625</wp:posOffset>
          </wp:positionV>
          <wp:extent cx="882015" cy="739140"/>
          <wp:effectExtent b="0" l="0" r="0" t="0"/>
          <wp:wrapNone/>
          <wp:docPr descr="Fundo preto com letras brancas&#10;&#10;O conteúdo gerado por IA pode estar incorreto." id="1" name="image2.png"/>
          <a:graphic>
            <a:graphicData uri="http://schemas.openxmlformats.org/drawingml/2006/picture">
              <pic:pic>
                <pic:nvPicPr>
                  <pic:cNvPr descr="Fundo preto com letras brancas&#10;&#10;O conteúdo gerado por IA pode estar incorreto." id="0" name="image2.png"/>
                  <pic:cNvPicPr preferRelativeResize="0"/>
                </pic:nvPicPr>
                <pic:blipFill>
                  <a:blip r:embed="rId2"/>
                  <a:srcRect b="0" l="64784" r="20738" t="91487"/>
                  <a:stretch>
                    <a:fillRect/>
                  </a:stretch>
                </pic:blipFill>
                <pic:spPr>
                  <a:xfrm>
                    <a:off x="0" y="0"/>
                    <a:ext cx="882015" cy="73914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5610225</wp:posOffset>
          </wp:positionH>
          <wp:positionV relativeFrom="paragraph">
            <wp:posOffset>0</wp:posOffset>
          </wp:positionV>
          <wp:extent cx="1153265" cy="681903"/>
          <wp:effectExtent b="0" l="0" r="0" t="0"/>
          <wp:wrapNone/>
          <wp:docPr descr="Logotipo&#10;&#10;O conteúdo gerado por IA pode estar incorreto." id="6" name="image3.png"/>
          <a:graphic>
            <a:graphicData uri="http://schemas.openxmlformats.org/drawingml/2006/picture">
              <pic:pic>
                <pic:nvPicPr>
                  <pic:cNvPr descr="Logotipo&#10;&#10;O conteúdo gerado por IA pode estar incorreto." id="0" name="image3.pn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53265" cy="681903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-361946</wp:posOffset>
          </wp:positionH>
          <wp:positionV relativeFrom="paragraph">
            <wp:posOffset>80775</wp:posOffset>
          </wp:positionV>
          <wp:extent cx="1201567" cy="624078"/>
          <wp:effectExtent b="0" l="0" r="0" t="0"/>
          <wp:wrapNone/>
          <wp:docPr descr="Logotipo&#10;&#10;O conteúdo gerado por IA pode estar incorreto." id="5" name="image4.png"/>
          <a:graphic>
            <a:graphicData uri="http://schemas.openxmlformats.org/drawingml/2006/picture">
              <pic:pic>
                <pic:nvPicPr>
                  <pic:cNvPr descr="Logotipo&#10;&#10;O conteúdo gerado por IA pode estar incorreto." id="0" name="image4.png"/>
                  <pic:cNvPicPr preferRelativeResize="0"/>
                </pic:nvPicPr>
                <pic:blipFill>
                  <a:blip r:embed="rId4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201567" cy="624078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3810000</wp:posOffset>
          </wp:positionH>
          <wp:positionV relativeFrom="paragraph">
            <wp:posOffset>142687</wp:posOffset>
          </wp:positionV>
          <wp:extent cx="723066" cy="509001"/>
          <wp:effectExtent b="0" l="0" r="0" t="0"/>
          <wp:wrapNone/>
          <wp:docPr descr="Logotipo&#10;&#10;O conteúdo gerado por IA pode estar incorreto." id="3" name="image5.png"/>
          <a:graphic>
            <a:graphicData uri="http://schemas.openxmlformats.org/drawingml/2006/picture">
              <pic:pic>
                <pic:nvPicPr>
                  <pic:cNvPr descr="Logotipo&#10;&#10;O conteúdo gerado por IA pode estar incorreto." id="0" name="image5.png"/>
                  <pic:cNvPicPr preferRelativeResize="0"/>
                </pic:nvPicPr>
                <pic:blipFill>
                  <a:blip r:embed="rId5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23066" cy="509001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32">
    <w:pPr>
      <w:spacing w:line="276" w:lineRule="auto"/>
      <w:ind w:firstLine="0"/>
      <w:rPr>
        <w:rFonts w:ascii="Arial" w:cs="Arial" w:eastAsia="Arial" w:hAnsi="Arial"/>
        <w:sz w:val="22"/>
        <w:szCs w:val="22"/>
      </w:rPr>
    </w:pPr>
    <w:r w:rsidDel="00000000" w:rsidR="00000000" w:rsidRPr="00000000">
      <w:rPr>
        <w:rFonts w:ascii="Arial" w:cs="Arial" w:eastAsia="Arial" w:hAnsi="Arial"/>
        <w:sz w:val="22"/>
        <w:szCs w:val="22"/>
        <w:rtl w:val="0"/>
      </w:rPr>
      <w:t xml:space="preserve">                                                                                                                                                             </w:t>
    </w:r>
  </w:p>
  <w:p w:rsidR="00000000" w:rsidDel="00000000" w:rsidP="00000000" w:rsidRDefault="00000000" w:rsidRPr="00000000" w14:paraId="0000003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ind w:hanging="2"/>
      <w:jc w:val="right"/>
      <w:rPr>
        <w:rFonts w:ascii="Calibri" w:cs="Calibri" w:eastAsia="Calibri" w:hAnsi="Calibri"/>
        <w:b w:val="1"/>
        <w:bCs w:val="1"/>
        <w:sz w:val="16"/>
        <w:szCs w:val="16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ind w:hanging="2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ind w:hanging="2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C">
    <w:pPr>
      <w:spacing w:line="276" w:lineRule="auto"/>
      <w:ind w:hanging="450"/>
      <w:jc w:val="both"/>
      <w:rPr>
        <w:rFonts w:ascii="Arial" w:cs="Arial" w:eastAsia="Arial" w:hAnsi="Arial"/>
        <w:sz w:val="22"/>
        <w:szCs w:val="22"/>
      </w:rPr>
    </w:pPr>
    <w:r w:rsidDel="00000000" w:rsidR="00000000" w:rsidRPr="00000000">
      <w:rPr>
        <w:rFonts w:ascii="Arial" w:cs="Arial" w:eastAsia="Arial" w:hAnsi="Arial"/>
        <w:sz w:val="22"/>
        <w:szCs w:val="22"/>
      </w:rPr>
      <w:drawing>
        <wp:inline distB="0" distT="0" distL="0" distR="0">
          <wp:extent cx="1186751" cy="853881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86751" cy="853881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ind w:hanging="2"/>
      <w:rPr/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ind w:hanging="2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lowerLetter"/>
      <w:lvlText w:val="%1)"/>
      <w:lvlJc w:val="left"/>
      <w:pPr>
        <w:ind w:left="720" w:hanging="360"/>
      </w:pPr>
      <w:rPr>
        <w:b w:val="1"/>
        <w:bCs w:val="1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rFonts w:ascii="Calibri" w:cs="Calibri" w:eastAsia="Calibri" w:hAnsi="Calibri"/>
        <w:b w:val="1"/>
        <w:bCs w:val="1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>
        <w:ind w:hanging="1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1.xml"/><Relationship Id="rId10" Type="http://schemas.openxmlformats.org/officeDocument/2006/relationships/header" Target="header3.xml"/><Relationship Id="rId13" Type="http://schemas.openxmlformats.org/officeDocument/2006/relationships/footer" Target="footer3.xml"/><Relationship Id="rId12" Type="http://schemas.openxmlformats.org/officeDocument/2006/relationships/footer" Target="footer2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2.xml"/><Relationship Id="rId14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ww.gov.br/cultura/pt-br/acesso-a-informacao/legislacao-e-normativas/instrucao-normativa-minc-no-1-de-7-de-abril-de-2015-1" TargetMode="External"/><Relationship Id="rId8" Type="http://schemas.openxmlformats.org/officeDocument/2006/relationships/hyperlink" Target="https://www.gov.br/cultura/pt-br/acesso-a-informacao/legislacao-e-normativas/instrucao-normativa-minc-no-1-de-7-de-abril-de-2015-1" TargetMode="External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6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<Relationship Id="rId5" Type="http://schemas.openxmlformats.org/officeDocument/2006/relationships/image" Target="media/image5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VTL7b9IcRjMBOAZU+30RSbvGq/Q==">CgMxLjAyDmgueDVsNnV2Z2Y2a3hkOAByITFYRS0tZGF3WW82TUJsSnJQWGt4Qm14alExOFRtWkVBaw==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